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54CC2" w14:textId="77777777" w:rsidR="00932B30" w:rsidRDefault="00E3185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3AFE6061" w14:textId="77777777" w:rsidR="00932B30" w:rsidRDefault="00E3185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BC44207" w14:textId="77777777" w:rsidR="00932B30" w:rsidRDefault="00E3185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BA437A">
        <w:rPr>
          <w:rFonts w:ascii="Corbel" w:hAnsi="Corbel"/>
          <w:i/>
          <w:smallCaps/>
          <w:sz w:val="24"/>
          <w:szCs w:val="24"/>
        </w:rPr>
        <w:t>2021-2023</w:t>
      </w:r>
    </w:p>
    <w:p w14:paraId="4325E9C0" w14:textId="77777777" w:rsidR="00932B30" w:rsidRDefault="00E3185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085311C" w14:textId="77777777" w:rsidR="00932B30" w:rsidRDefault="00E3185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BA437A">
        <w:rPr>
          <w:rFonts w:ascii="Corbel" w:hAnsi="Corbel"/>
          <w:sz w:val="20"/>
          <w:szCs w:val="20"/>
        </w:rPr>
        <w:t>ok akademicki   2021/2022</w:t>
      </w:r>
    </w:p>
    <w:p w14:paraId="30B9C827" w14:textId="77777777" w:rsidR="00932B30" w:rsidRDefault="00932B30">
      <w:pPr>
        <w:spacing w:after="0" w:line="240" w:lineRule="auto"/>
        <w:rPr>
          <w:rFonts w:ascii="Corbel" w:hAnsi="Corbel"/>
          <w:sz w:val="24"/>
          <w:szCs w:val="24"/>
        </w:rPr>
      </w:pPr>
    </w:p>
    <w:p w14:paraId="624056DC" w14:textId="77777777" w:rsidR="00932B30" w:rsidRDefault="00E3185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7088"/>
      </w:tblGrid>
      <w:tr w:rsidR="00932B30" w14:paraId="44E1651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115D4" w14:textId="77777777" w:rsidR="00932B30" w:rsidRDefault="00E3185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F530A" w14:textId="77777777" w:rsidR="00932B30" w:rsidRDefault="00E3185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Kolonializm i</w:t>
            </w:r>
            <w:r w:rsidR="00BC4CC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BC4CC9">
              <w:rPr>
                <w:rFonts w:ascii="Corbel" w:hAnsi="Corbel"/>
                <w:b w:val="0"/>
                <w:sz w:val="24"/>
                <w:szCs w:val="24"/>
              </w:rPr>
              <w:t>postkolonializm</w:t>
            </w:r>
            <w:proofErr w:type="spellEnd"/>
          </w:p>
        </w:tc>
      </w:tr>
      <w:tr w:rsidR="00932B30" w14:paraId="36DFEBF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142D6" w14:textId="77777777" w:rsidR="00932B30" w:rsidRDefault="00E3185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DC6C9" w14:textId="77777777" w:rsidR="00932B30" w:rsidRDefault="00932B30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2B30" w14:paraId="4C81EBA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BCECD" w14:textId="77777777" w:rsidR="00932B30" w:rsidRDefault="00E3185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95C2D" w14:textId="47AF9067" w:rsidR="00932B30" w:rsidRDefault="00E31852">
            <w:pPr>
              <w:pStyle w:val="Odpowiedzi"/>
              <w:snapToGrid w:val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 xml:space="preserve">Kolegium </w:t>
            </w:r>
            <w:r w:rsidR="00DB6A09">
              <w:rPr>
                <w:rFonts w:ascii="Corbel" w:hAnsi="Corbel" w:cs="Corbel"/>
                <w:b w:val="0"/>
                <w:sz w:val="22"/>
                <w:szCs w:val="24"/>
              </w:rPr>
              <w:t>Nauk Humanistycznych</w:t>
            </w:r>
          </w:p>
        </w:tc>
      </w:tr>
      <w:tr w:rsidR="00932B30" w14:paraId="65125E3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B8166" w14:textId="77777777" w:rsidR="00932B30" w:rsidRDefault="00E3185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00451" w14:textId="77777777" w:rsidR="00932B30" w:rsidRDefault="00E31852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Instytut Filozofii/Zakład Filozofii Człowieka</w:t>
            </w:r>
          </w:p>
        </w:tc>
      </w:tr>
      <w:tr w:rsidR="00932B30" w14:paraId="7D5AFE6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5F03A" w14:textId="77777777" w:rsidR="00932B30" w:rsidRDefault="00E3185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D9F09" w14:textId="4878DF92" w:rsidR="00932B30" w:rsidRDefault="00821611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932B30" w14:paraId="7067908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F737E" w14:textId="77777777" w:rsidR="00932B30" w:rsidRDefault="00E3185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E5ECB" w14:textId="34FC4A0B" w:rsidR="00932B30" w:rsidRDefault="00821611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</w:p>
        </w:tc>
      </w:tr>
      <w:tr w:rsidR="00932B30" w14:paraId="62DAD95D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04B68" w14:textId="77777777" w:rsidR="00932B30" w:rsidRDefault="00E3185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9AFD3" w14:textId="77777777" w:rsidR="00932B30" w:rsidRDefault="008B14BB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Komunikacja mię</w:t>
            </w:r>
            <w:r w:rsidR="00E31852">
              <w:rPr>
                <w:rFonts w:ascii="Corbel" w:hAnsi="Corbel" w:cs="Corbel"/>
                <w:b w:val="0"/>
                <w:sz w:val="24"/>
                <w:szCs w:val="24"/>
              </w:rPr>
              <w:t>dzykulturowa</w:t>
            </w:r>
          </w:p>
        </w:tc>
      </w:tr>
      <w:tr w:rsidR="00932B30" w14:paraId="2B4DC5B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1A8F9" w14:textId="77777777" w:rsidR="00932B30" w:rsidRDefault="00E3185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BF6F5" w14:textId="77777777" w:rsidR="00932B30" w:rsidRDefault="00E31852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932B30" w14:paraId="12FF341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698A3" w14:textId="77777777" w:rsidR="00932B30" w:rsidRDefault="00E3185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A84A3" w14:textId="77777777" w:rsidR="00932B30" w:rsidRDefault="008B14B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932B30" w14:paraId="3D1D300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E05C9" w14:textId="77777777" w:rsidR="00932B30" w:rsidRDefault="00E3185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0C908" w14:textId="4E60A7C2" w:rsidR="00932B30" w:rsidRDefault="00DB6A09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32B30" w14:paraId="74BDC82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7E9E3" w14:textId="77777777" w:rsidR="00932B30" w:rsidRDefault="00E3185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47A8A" w14:textId="77777777" w:rsidR="00932B30" w:rsidRDefault="00E31852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(angielski)</w:t>
            </w:r>
          </w:p>
        </w:tc>
      </w:tr>
      <w:tr w:rsidR="00932B30" w14:paraId="3375753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3D5E9" w14:textId="77777777" w:rsidR="00932B30" w:rsidRDefault="00E3185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21467" w14:textId="77777777" w:rsidR="00932B30" w:rsidRDefault="00E31852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932B30" w14:paraId="1089FCC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E382A" w14:textId="77777777" w:rsidR="00932B30" w:rsidRDefault="00E3185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D68CA" w14:textId="77777777" w:rsidR="00932B30" w:rsidRDefault="00E31852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bookmarkStart w:id="0" w:name="__DdeLink__9135_2199604000"/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  <w:bookmarkEnd w:id="0"/>
          </w:p>
        </w:tc>
      </w:tr>
    </w:tbl>
    <w:p w14:paraId="18B42236" w14:textId="77777777" w:rsidR="00932B30" w:rsidRDefault="00E31852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proofErr w:type="spellStart"/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14:paraId="51912E02" w14:textId="77777777" w:rsidR="00932B30" w:rsidRDefault="00932B3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99EEC00" w14:textId="77777777" w:rsidR="00932B30" w:rsidRDefault="00E3185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0D09DB4" w14:textId="77777777" w:rsidR="00932B30" w:rsidRDefault="00932B3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2"/>
        <w:gridCol w:w="763"/>
        <w:gridCol w:w="949"/>
        <w:gridCol w:w="1189"/>
        <w:gridCol w:w="1503"/>
      </w:tblGrid>
      <w:tr w:rsidR="00932B30" w14:paraId="6B868C4B" w14:textId="77777777" w:rsidTr="00821611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EFD34" w14:textId="77777777" w:rsidR="00932B30" w:rsidRDefault="00E3185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1845C47" w14:textId="77777777" w:rsidR="00932B30" w:rsidRDefault="00E3185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4E5F5" w14:textId="77777777" w:rsidR="00932B30" w:rsidRDefault="00E3185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6E3DD" w14:textId="77777777" w:rsidR="00932B30" w:rsidRDefault="00E3185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05281" w14:textId="77777777" w:rsidR="00932B30" w:rsidRDefault="00E3185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9E1B3" w14:textId="77777777" w:rsidR="00932B30" w:rsidRDefault="00E3185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46AC4" w14:textId="77777777" w:rsidR="00932B30" w:rsidRDefault="00E3185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0B9C4" w14:textId="77777777" w:rsidR="00932B30" w:rsidRDefault="00E3185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388DE" w14:textId="77777777" w:rsidR="00932B30" w:rsidRDefault="00E3185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67F72" w14:textId="77777777" w:rsidR="00932B30" w:rsidRDefault="00E3185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4073D" w14:textId="77777777" w:rsidR="00932B30" w:rsidRDefault="00E3185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32B30" w14:paraId="1D543357" w14:textId="77777777" w:rsidTr="00821611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110FC" w14:textId="77777777" w:rsidR="00932B30" w:rsidRDefault="00654C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55137" w14:textId="77777777" w:rsidR="00932B30" w:rsidRDefault="001733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97144" w14:textId="77777777" w:rsidR="00932B30" w:rsidRDefault="001733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AFFB7" w14:textId="77777777" w:rsidR="00932B30" w:rsidRDefault="00932B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0EA4B" w14:textId="77777777" w:rsidR="00932B30" w:rsidRDefault="00932B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91EC7" w14:textId="77777777" w:rsidR="00932B30" w:rsidRDefault="00932B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EA8D6" w14:textId="77777777" w:rsidR="00932B30" w:rsidRDefault="00932B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FECD6" w14:textId="77777777" w:rsidR="00932B30" w:rsidRDefault="00932B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DB870" w14:textId="77777777" w:rsidR="00932B30" w:rsidRDefault="00932B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993B3" w14:textId="77777777" w:rsidR="00932B30" w:rsidRDefault="001733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1E023E4" w14:textId="77777777" w:rsidR="00932B30" w:rsidRDefault="00932B3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ECDB021" w14:textId="77777777" w:rsidR="00932B30" w:rsidRDefault="00932B3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3EAB4B6" w14:textId="77777777" w:rsidR="00932B30" w:rsidRDefault="00E3185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E2371F8" w14:textId="77777777" w:rsidR="00932B30" w:rsidRDefault="00E3185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30D83EB7" w14:textId="77777777" w:rsidR="00932B30" w:rsidRDefault="00E3185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EAC3A0" w14:textId="77777777" w:rsidR="00932B30" w:rsidRDefault="00932B3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5FC677" w14:textId="77777777" w:rsidR="00932B30" w:rsidRDefault="00E3185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 w:val="0"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7C4D8816" w14:textId="77777777" w:rsidR="00932B30" w:rsidRDefault="00932B3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6AB16C" w14:textId="77777777" w:rsidR="00932B30" w:rsidRDefault="00932B3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2558C6" w14:textId="77777777" w:rsidR="00932B30" w:rsidRDefault="00E3185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932B30" w14:paraId="6128260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B63EC" w14:textId="77777777" w:rsidR="00932B30" w:rsidRPr="00821611" w:rsidRDefault="00932B3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DC50CDB" w14:textId="77777777" w:rsidR="00932B30" w:rsidRPr="00821611" w:rsidRDefault="00E31852">
            <w:pPr>
              <w:snapToGrid w:val="0"/>
              <w:rPr>
                <w:rFonts w:ascii="Corbel" w:hAnsi="Corbel"/>
              </w:rPr>
            </w:pPr>
            <w:r w:rsidRPr="00821611">
              <w:rPr>
                <w:rFonts w:ascii="Corbel" w:hAnsi="Corbel"/>
              </w:rPr>
              <w:t>Podstawowa wiedza ogólna z zakresu nauk o kulturze.</w:t>
            </w:r>
          </w:p>
          <w:p w14:paraId="1B8B0946" w14:textId="77777777" w:rsidR="00932B30" w:rsidRPr="00821611" w:rsidRDefault="00E31852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821611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Podstawowa orientacja w zagadnieniach historii świata i Europy.</w:t>
            </w:r>
          </w:p>
          <w:p w14:paraId="3FEF827E" w14:textId="77777777" w:rsidR="00932B30" w:rsidRPr="00821611" w:rsidRDefault="00932B30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</w:p>
          <w:p w14:paraId="626E0139" w14:textId="77777777" w:rsidR="00932B30" w:rsidRPr="00821611" w:rsidRDefault="00E31852">
            <w:pPr>
              <w:snapToGrid w:val="0"/>
              <w:spacing w:before="40" w:after="40"/>
              <w:rPr>
                <w:rFonts w:ascii="Corbel" w:hAnsi="Corbel"/>
              </w:rPr>
            </w:pPr>
            <w:r w:rsidRPr="00821611"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  <w:t>UWAGA</w:t>
            </w:r>
            <w:r w:rsidRPr="00821611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: kurs zakłada wysoki stopień zaangażowania słuchaczy i ich aktywne uczestnictwo we własnej pracy projektowo-analitycznej</w:t>
            </w:r>
          </w:p>
          <w:p w14:paraId="3131E5AA" w14:textId="77777777" w:rsidR="00932B30" w:rsidRPr="00821611" w:rsidRDefault="00932B30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</w:p>
          <w:p w14:paraId="62446B32" w14:textId="77777777" w:rsidR="00932B30" w:rsidRPr="00821611" w:rsidRDefault="00E31852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821611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Wskazana jest znajomość języka angielskiego na poziomie pozwalającym na lekturę materiałów (ref. B1-B2)</w:t>
            </w:r>
          </w:p>
          <w:p w14:paraId="75D13F18" w14:textId="77777777" w:rsidR="00932B30" w:rsidRPr="00821611" w:rsidRDefault="00932B30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</w:p>
          <w:p w14:paraId="776E6511" w14:textId="77777777" w:rsidR="00932B30" w:rsidRDefault="00E31852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  <w:r w:rsidRPr="00821611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Wykład jest prowadzony metoda mieszaną z partycypacją słuchaczy.</w:t>
            </w:r>
          </w:p>
        </w:tc>
      </w:tr>
    </w:tbl>
    <w:p w14:paraId="5C46AC55" w14:textId="77777777" w:rsidR="00932B30" w:rsidRDefault="00932B30">
      <w:pPr>
        <w:pStyle w:val="Punktygwne"/>
        <w:spacing w:before="0" w:after="0"/>
        <w:rPr>
          <w:rFonts w:ascii="Corbel" w:hAnsi="Corbel"/>
          <w:szCs w:val="24"/>
        </w:rPr>
      </w:pPr>
    </w:p>
    <w:p w14:paraId="1E4E2D05" w14:textId="77777777" w:rsidR="00932B30" w:rsidRDefault="00E3185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3821E11F" w14:textId="77777777" w:rsidR="00932B30" w:rsidRDefault="00932B30">
      <w:pPr>
        <w:pStyle w:val="Punktygwne"/>
        <w:spacing w:before="0" w:after="0"/>
        <w:rPr>
          <w:rFonts w:ascii="Corbel" w:hAnsi="Corbel"/>
          <w:szCs w:val="24"/>
        </w:rPr>
      </w:pPr>
    </w:p>
    <w:p w14:paraId="06C646F8" w14:textId="77777777" w:rsidR="00932B30" w:rsidRDefault="00E3185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F9D505D" w14:textId="77777777" w:rsidR="00932B30" w:rsidRDefault="00932B3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8820"/>
      </w:tblGrid>
      <w:tr w:rsidR="00932B30" w14:paraId="2BB9922C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0E96F" w14:textId="77777777" w:rsidR="00932B30" w:rsidRDefault="00932B3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825A8" w14:textId="77777777" w:rsidR="00932B30" w:rsidRDefault="00E31852">
            <w:pPr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Przedmiot poświęcony jest zagadnieniom związanym z tożsamością kulturową kształtowaną przez kontekst kontaktu kolonialnego.</w:t>
            </w:r>
          </w:p>
        </w:tc>
      </w:tr>
      <w:tr w:rsidR="00932B30" w14:paraId="396E95E9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96A72" w14:textId="77777777" w:rsidR="00932B30" w:rsidRDefault="00E31852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53D55" w14:textId="77777777" w:rsidR="00932B30" w:rsidRDefault="00E31852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Przedstawienie problematyki kolonialnego kontaktu kulturowego i jego znaczenia dla kultury</w:t>
            </w:r>
          </w:p>
        </w:tc>
      </w:tr>
      <w:tr w:rsidR="00932B30" w14:paraId="6F6FE90C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9CFAD" w14:textId="77777777" w:rsidR="00932B30" w:rsidRDefault="00E31852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11D59" w14:textId="77777777" w:rsidR="00932B30" w:rsidRDefault="00E31852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Analiza wybranych konstruktów i artefaktów kulturowych w tym kontekście</w:t>
            </w:r>
          </w:p>
        </w:tc>
      </w:tr>
      <w:tr w:rsidR="00932B30" w14:paraId="13561EAF" w14:textId="77777777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C6C2B" w14:textId="77777777" w:rsidR="00932B30" w:rsidRDefault="00E31852">
            <w:pPr>
              <w:pStyle w:val="Podpunkty"/>
              <w:spacing w:before="40" w:after="40"/>
              <w:ind w:left="0"/>
              <w:jc w:val="left"/>
            </w:pPr>
            <w:r>
              <w:t>C3</w:t>
            </w:r>
          </w:p>
        </w:tc>
        <w:tc>
          <w:tcPr>
            <w:tcW w:w="8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E7C60" w14:textId="77777777" w:rsidR="00932B30" w:rsidRDefault="00E31852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Przygotowanie do krytyki relacji podrzędności/podporządkowania kulturowego i kulturowej autorefleksji</w:t>
            </w:r>
          </w:p>
        </w:tc>
      </w:tr>
    </w:tbl>
    <w:p w14:paraId="69E3CEB4" w14:textId="77777777" w:rsidR="00932B30" w:rsidRDefault="00932B3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37DB2E5" w14:textId="77777777" w:rsidR="00932B30" w:rsidRDefault="00E3185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6844DD6C" w14:textId="77777777" w:rsidR="00932B30" w:rsidRDefault="00932B3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932B30" w14:paraId="3D9AAB8F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F5718" w14:textId="77777777" w:rsidR="00932B30" w:rsidRPr="00821611" w:rsidRDefault="00E318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1611">
              <w:rPr>
                <w:rFonts w:ascii="Corbel" w:hAnsi="Corbel"/>
                <w:smallCaps w:val="0"/>
                <w:szCs w:val="24"/>
              </w:rPr>
              <w:t>EK</w:t>
            </w:r>
            <w:r w:rsidRPr="0082161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D0BE8" w14:textId="77777777" w:rsidR="00932B30" w:rsidRPr="00821611" w:rsidRDefault="00E318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161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EBB78" w14:textId="77777777" w:rsidR="00932B30" w:rsidRPr="00821611" w:rsidRDefault="00E318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161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21611">
              <w:rPr>
                <w:rStyle w:val="FootnoteAnchor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32B30" w14:paraId="4582E7AF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452EE" w14:textId="77777777" w:rsidR="00932B30" w:rsidRPr="00821611" w:rsidRDefault="00E318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161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2161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E6754" w14:textId="77777777" w:rsidR="00932B30" w:rsidRPr="00821611" w:rsidRDefault="00E31852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821611">
              <w:rPr>
                <w:rFonts w:ascii="Corbel" w:eastAsia="Arial CE" w:hAnsi="Corbel" w:cs="Arial CE"/>
                <w:sz w:val="20"/>
                <w:szCs w:val="20"/>
              </w:rPr>
              <w:t>Słuchacz jest zorientowany w problematyce historycznego wpływu  kolonializmu na kształtowanie praktyk artefaktów i koncepcji kulturowych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EC686" w14:textId="77777777" w:rsidR="00932B30" w:rsidRPr="00821611" w:rsidRDefault="00E318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161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32B30" w14:paraId="2DA13443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EF8B8" w14:textId="77777777" w:rsidR="00932B30" w:rsidRPr="00821611" w:rsidRDefault="00E318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161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88402" w14:textId="77777777" w:rsidR="00932B30" w:rsidRPr="00821611" w:rsidRDefault="00E31852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821611">
              <w:rPr>
                <w:rFonts w:ascii="Corbel" w:eastAsia="Arial CE" w:hAnsi="Corbel" w:cs="Arial CE"/>
                <w:sz w:val="20"/>
                <w:szCs w:val="20"/>
              </w:rPr>
              <w:t>Słuchacz potrafi wskazać wybrane obiekty (artefakty, postawy, praktyki bądź koncepcje) i dokonać ich analizy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D2069" w14:textId="77777777" w:rsidR="00932B30" w:rsidRPr="00821611" w:rsidRDefault="00E318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1611">
              <w:rPr>
                <w:rFonts w:ascii="Corbel" w:hAnsi="Corbel"/>
                <w:b w:val="0"/>
                <w:smallCaps w:val="0"/>
                <w:szCs w:val="24"/>
              </w:rPr>
              <w:t>K_W05, K_U01</w:t>
            </w:r>
          </w:p>
        </w:tc>
      </w:tr>
      <w:tr w:rsidR="00932B30" w14:paraId="02B66C06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EB932" w14:textId="77777777" w:rsidR="00932B30" w:rsidRPr="00821611" w:rsidRDefault="00E3185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2161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3783F" w14:textId="77777777" w:rsidR="00932B30" w:rsidRPr="00821611" w:rsidRDefault="00E31852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821611">
              <w:rPr>
                <w:rFonts w:ascii="Corbel" w:eastAsia="Arial CE" w:hAnsi="Corbel" w:cs="Arial CE"/>
                <w:sz w:val="20"/>
                <w:szCs w:val="20"/>
              </w:rPr>
              <w:t>Słuchacz potrafi odnieść analizy relacji kolonialnych do wybranych wątków narracji kulturowych (historycznych i współczesnych)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8F4DC" w14:textId="77777777" w:rsidR="00932B30" w:rsidRPr="00821611" w:rsidRDefault="00E318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1611">
              <w:rPr>
                <w:rFonts w:ascii="Corbel" w:hAnsi="Corbel"/>
                <w:b w:val="0"/>
                <w:smallCaps w:val="0"/>
                <w:szCs w:val="24"/>
              </w:rPr>
              <w:t>K_U02, K_U03</w:t>
            </w:r>
          </w:p>
        </w:tc>
      </w:tr>
      <w:tr w:rsidR="00932B30" w14:paraId="48510239" w14:textId="77777777"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ADC53" w14:textId="77777777" w:rsidR="00932B30" w:rsidRPr="00821611" w:rsidRDefault="00E3185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21611">
              <w:rPr>
                <w:rFonts w:ascii="Corbel" w:hAnsi="Corbel"/>
              </w:rPr>
              <w:t>EK_04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33432" w14:textId="77777777" w:rsidR="00932B30" w:rsidRPr="00821611" w:rsidRDefault="00E31852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821611">
              <w:rPr>
                <w:rFonts w:ascii="Corbel" w:eastAsia="Arial CE" w:hAnsi="Corbel" w:cs="Arial CE"/>
                <w:sz w:val="20"/>
                <w:szCs w:val="20"/>
              </w:rPr>
              <w:t>Słuchacz jest zdolny do krytycznej analizy treści kultury własnej w tym kontekście w tym szczególnie: narracji tożsamościowych, polityk kulturowych, wyobraźni i związanych z nimi praktyk kulturowych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63D0D" w14:textId="77777777" w:rsidR="00932B30" w:rsidRPr="00821611" w:rsidRDefault="00E318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1611">
              <w:rPr>
                <w:rFonts w:ascii="Corbel" w:hAnsi="Corbel"/>
                <w:b w:val="0"/>
                <w:smallCaps w:val="0"/>
                <w:szCs w:val="24"/>
              </w:rPr>
              <w:t>K_U04, K_U07, K_U09, K_K01</w:t>
            </w:r>
          </w:p>
        </w:tc>
      </w:tr>
    </w:tbl>
    <w:p w14:paraId="66CF3120" w14:textId="77777777" w:rsidR="00932B30" w:rsidRDefault="00932B3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9C9276" w14:textId="77777777" w:rsidR="00932B30" w:rsidRDefault="00E3185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52AB79AE" w14:textId="77777777" w:rsidR="00932B30" w:rsidRDefault="00E3185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767E6A0" w14:textId="77777777" w:rsidR="00932B30" w:rsidRDefault="00932B3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932B30" w14:paraId="17C2DD6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73682" w14:textId="77777777" w:rsidR="00932B30" w:rsidRDefault="00E3185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32B30" w14:paraId="1C8A67D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4EA39" w14:textId="77777777" w:rsidR="00932B30" w:rsidRDefault="00E31852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1. Historyczny kolonializm – od starożytności do nowożytności (skrócony przegląd);</w:t>
            </w:r>
          </w:p>
        </w:tc>
      </w:tr>
      <w:tr w:rsidR="00932B30" w14:paraId="7D5574E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DB856" w14:textId="77777777" w:rsidR="00932B30" w:rsidRDefault="00E31852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2. Rola relacji kolonialnych w kształtowaniu się historycznych wyobrażeń, praktyk i polityk kulturowych (do XVIII w)</w:t>
            </w:r>
          </w:p>
        </w:tc>
      </w:tr>
      <w:tr w:rsidR="00932B30" w14:paraId="44C2A85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3EFC8" w14:textId="77777777" w:rsidR="00932B30" w:rsidRDefault="00E31852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3. Złoty wiek imperiów nowożytnych i imperializm: znaczenie dla świata współczesnego (XIX-XX w)</w:t>
            </w:r>
          </w:p>
        </w:tc>
      </w:tr>
      <w:tr w:rsidR="00932B30" w14:paraId="5A0BF86F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05E4" w14:textId="77777777" w:rsidR="00932B30" w:rsidRDefault="00E31852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4. Kolonizatorzy i kolonizowani: relacje, podwójne statusy, zmącone granice</w:t>
            </w:r>
          </w:p>
        </w:tc>
      </w:tr>
      <w:tr w:rsidR="00932B30" w14:paraId="67165C46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696DD" w14:textId="77777777" w:rsidR="00932B30" w:rsidRDefault="00E31852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5. Kolaboracja, opór, adaptacja, transformacja – kulturowe przekształcenia rzeczywistości kolonialnej</w:t>
            </w:r>
          </w:p>
        </w:tc>
      </w:tr>
      <w:tr w:rsidR="00932B30" w14:paraId="00A837B9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EC7EA" w14:textId="77777777" w:rsidR="00932B30" w:rsidRDefault="00E31852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6. Kolonializm i kultura dziś.</w:t>
            </w:r>
          </w:p>
        </w:tc>
      </w:tr>
    </w:tbl>
    <w:p w14:paraId="506E7445" w14:textId="77777777" w:rsidR="00932B30" w:rsidRDefault="00932B30">
      <w:pPr>
        <w:spacing w:after="0" w:line="240" w:lineRule="auto"/>
        <w:rPr>
          <w:rFonts w:ascii="Corbel" w:hAnsi="Corbel"/>
          <w:sz w:val="24"/>
          <w:szCs w:val="24"/>
        </w:rPr>
      </w:pPr>
    </w:p>
    <w:p w14:paraId="386F6085" w14:textId="77777777" w:rsidR="00932B30" w:rsidRDefault="00E31852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3D6B160" w14:textId="77777777" w:rsidR="00932B30" w:rsidRDefault="00932B3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932B30" w14:paraId="2D30FCD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F684B" w14:textId="77777777" w:rsidR="00932B30" w:rsidRDefault="00E3185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32B30" w14:paraId="488329B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04D52" w14:textId="77777777" w:rsidR="00932B30" w:rsidRDefault="00932B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932B30" w14:paraId="742A472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52787" w14:textId="77777777" w:rsidR="00932B30" w:rsidRDefault="00932B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932B30" w14:paraId="1876AEC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8663B" w14:textId="77777777" w:rsidR="00932B30" w:rsidRDefault="00932B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C1C4E8E" w14:textId="77777777" w:rsidR="00932B30" w:rsidRDefault="00932B3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FE68E5" w14:textId="77777777" w:rsidR="00932B30" w:rsidRDefault="00E3185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2F0ABB5C" w14:textId="77777777" w:rsidR="00932B30" w:rsidRDefault="00932B3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C28BAB" w14:textId="77777777" w:rsidR="00932B30" w:rsidRDefault="00E31852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4774F164" w14:textId="77777777" w:rsidR="00932B30" w:rsidRDefault="00E3185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wykład z prezentacją multimedialną, metody kształcenia na odległość </w:t>
      </w:r>
    </w:p>
    <w:p w14:paraId="6C5D7419" w14:textId="77777777" w:rsidR="00932B30" w:rsidRDefault="00E3185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583BDD10" w14:textId="77777777" w:rsidR="00932B30" w:rsidRDefault="00E3185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0B9CA3EE" w14:textId="77777777" w:rsidR="00932B30" w:rsidRDefault="00932B3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499145" w14:textId="77777777" w:rsidR="00932B30" w:rsidRDefault="00932B3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2D4A5B" w14:textId="77777777" w:rsidR="00932B30" w:rsidRDefault="00932B3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FFD66B" w14:textId="77777777" w:rsidR="00423E1E" w:rsidRDefault="00423E1E" w:rsidP="00423E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51D1BE62" w14:textId="77777777" w:rsidR="00423E1E" w:rsidRDefault="00423E1E" w:rsidP="00423E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818493" w14:textId="77777777" w:rsidR="00423E1E" w:rsidRDefault="00423E1E" w:rsidP="00423E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1C7E679" w14:textId="77777777" w:rsidR="00423E1E" w:rsidRDefault="00423E1E" w:rsidP="00423E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423E1E" w14:paraId="23DFE17A" w14:textId="77777777" w:rsidTr="00EA2364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19F86" w14:textId="77777777" w:rsidR="00423E1E" w:rsidRDefault="00423E1E" w:rsidP="00EA23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1C348" w14:textId="77777777" w:rsidR="00423E1E" w:rsidRDefault="00423E1E" w:rsidP="00EA23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C9D4E56" w14:textId="77777777" w:rsidR="00423E1E" w:rsidRDefault="00423E1E" w:rsidP="00EA23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2762" w14:textId="77777777" w:rsidR="00423E1E" w:rsidRDefault="00423E1E" w:rsidP="00EA23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9ADB67" w14:textId="77777777" w:rsidR="00423E1E" w:rsidRDefault="00423E1E" w:rsidP="00EA23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23E1E" w14:paraId="029DE4F9" w14:textId="77777777" w:rsidTr="00EA2364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9BDBD" w14:textId="77777777" w:rsidR="00423E1E" w:rsidRDefault="00423E1E" w:rsidP="00EA2364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0F33E" w14:textId="77777777" w:rsidR="00423E1E" w:rsidRDefault="00423E1E" w:rsidP="00EA2364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08DD4" w14:textId="77777777" w:rsidR="00423E1E" w:rsidRDefault="00423E1E" w:rsidP="00EA23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423E1E" w14:paraId="4153373C" w14:textId="77777777" w:rsidTr="00EA2364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5C798" w14:textId="77777777" w:rsidR="00423E1E" w:rsidRDefault="00423E1E" w:rsidP="00EA23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719B2" w14:textId="77777777" w:rsidR="00423E1E" w:rsidRDefault="00423E1E" w:rsidP="00EA2364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17571" w14:textId="77777777" w:rsidR="00423E1E" w:rsidRDefault="00423E1E" w:rsidP="00EA23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23E1E" w14:paraId="141CE309" w14:textId="77777777" w:rsidTr="00EA2364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AC1B4" w14:textId="77777777" w:rsidR="00423E1E" w:rsidRDefault="00423E1E" w:rsidP="00EA23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5E61D" w14:textId="77777777" w:rsidR="00423E1E" w:rsidRDefault="00423E1E" w:rsidP="00EA2364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9CA91" w14:textId="77777777" w:rsidR="00423E1E" w:rsidRDefault="00423E1E" w:rsidP="00EA23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23E1E" w14:paraId="6A4DF086" w14:textId="77777777" w:rsidTr="00EA2364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E9940" w14:textId="77777777" w:rsidR="00423E1E" w:rsidRDefault="00423E1E" w:rsidP="00EA23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A02F2" w14:textId="77777777" w:rsidR="00423E1E" w:rsidRDefault="00423E1E" w:rsidP="00EA23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FB775" w14:textId="77777777" w:rsidR="00423E1E" w:rsidRDefault="00423E1E" w:rsidP="00EA23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4B112988" w14:textId="77777777" w:rsidR="00423E1E" w:rsidRDefault="00423E1E" w:rsidP="00423E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7332FA" w14:textId="77777777" w:rsidR="00423E1E" w:rsidRDefault="00423E1E" w:rsidP="00423E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1A77823B" w14:textId="77777777" w:rsidR="00423E1E" w:rsidRDefault="00423E1E" w:rsidP="00423E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423E1E" w14:paraId="63825636" w14:textId="77777777" w:rsidTr="00EA2364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BCA00" w14:textId="77777777" w:rsidR="00423E1E" w:rsidRPr="00210ABC" w:rsidRDefault="00423E1E" w:rsidP="00EA2364">
            <w:pPr>
              <w:numPr>
                <w:ilvl w:val="0"/>
                <w:numId w:val="4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 w:rsidRPr="00210ABC">
              <w:rPr>
                <w:rFonts w:ascii="Corbel" w:hAnsi="Corbel"/>
                <w:sz w:val="24"/>
                <w:szCs w:val="24"/>
              </w:rPr>
              <w:t xml:space="preserve">Ocena aktywności na zajęciach (udział w dyskusji, opanowanie materiału); </w:t>
            </w:r>
          </w:p>
          <w:p w14:paraId="26116786" w14:textId="77777777" w:rsidR="00423E1E" w:rsidRPr="00905C86" w:rsidRDefault="00423E1E" w:rsidP="00EA23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Szczegółowe kryteria:5,0 – znaczna aktywność, wysoki poziom merytoryczny wypowiedzi, min. 80% obecności na zajęciach; 4,5 – znaczna aktywność, dobry poziom merytoryczny wypowiedzi, min. 70% obecności na zajęciach; 4,0 – zauważalna aktywność, dobry poziom merytoryczny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wypowiedzi, min. 60% obecności na zajęciach; - 3,5 – zauważalna aktywność, dostateczny 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04BD4D89" w14:textId="77777777" w:rsidR="00423E1E" w:rsidRPr="00210ABC" w:rsidRDefault="00423E1E" w:rsidP="00EA2364">
            <w:pPr>
              <w:numPr>
                <w:ilvl w:val="0"/>
                <w:numId w:val="4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 w:rsidRPr="00210ABC">
              <w:rPr>
                <w:rFonts w:ascii="Corbel" w:hAnsi="Corbel"/>
                <w:sz w:val="24"/>
                <w:szCs w:val="24"/>
              </w:rPr>
              <w:t>Zaliczenie wszystkich zadań zleconych</w:t>
            </w:r>
          </w:p>
          <w:p w14:paraId="6D5429AE" w14:textId="77777777" w:rsidR="00423E1E" w:rsidRPr="00210ABC" w:rsidRDefault="00423E1E" w:rsidP="00EA2364">
            <w:pPr>
              <w:numPr>
                <w:ilvl w:val="0"/>
                <w:numId w:val="4"/>
              </w:num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  <w:r w:rsidRPr="00210ABC">
              <w:rPr>
                <w:rFonts w:ascii="Corbel" w:hAnsi="Corbel" w:cs="Corbel"/>
                <w:sz w:val="24"/>
                <w:szCs w:val="24"/>
              </w:rPr>
              <w:t>Wykonanie pracy zaliczeniowej;</w:t>
            </w:r>
          </w:p>
          <w:p w14:paraId="50CFD8CB" w14:textId="77777777" w:rsidR="00423E1E" w:rsidRPr="00210ABC" w:rsidRDefault="00423E1E" w:rsidP="00EA2364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sposób posługiwania się użytymi w tekście pojęciami (0-10 pkt), poprawność budowanych interpretacji, zakres poruszanych problemów (0-10 pkt).</w:t>
            </w:r>
          </w:p>
          <w:p w14:paraId="50BCC2D4" w14:textId="77777777" w:rsidR="00423E1E" w:rsidRPr="00210ABC" w:rsidRDefault="00423E1E" w:rsidP="00EA23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Kryteria szczegółowe: 0-25 pkt – 2,0; 26-30 pkt – 3,0;31-35 pkt  – 3,5;36-40 pkt  – 4,0;41-45  pkt– 4,5;46-50 pkt – 5,0   </w:t>
            </w:r>
          </w:p>
          <w:p w14:paraId="748B2C1C" w14:textId="77777777" w:rsidR="00423E1E" w:rsidRPr="00210ABC" w:rsidRDefault="00423E1E" w:rsidP="00EA2364">
            <w:p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</w:p>
          <w:p w14:paraId="1A2819FF" w14:textId="77777777" w:rsidR="00423E1E" w:rsidRPr="00210ABC" w:rsidRDefault="00423E1E" w:rsidP="00EA2364">
            <w:pPr>
              <w:snapToGrid w:val="0"/>
              <w:spacing w:after="0"/>
              <w:rPr>
                <w:rFonts w:ascii="Corbel" w:hAnsi="Corbel" w:cs="Corbel"/>
                <w:i/>
                <w:iCs/>
                <w:sz w:val="24"/>
                <w:szCs w:val="24"/>
              </w:rPr>
            </w:pPr>
            <w:r w:rsidRPr="00210ABC">
              <w:rPr>
                <w:rFonts w:ascii="Corbel" w:hAnsi="Corbel" w:cs="Corbel"/>
                <w:i/>
                <w:iCs/>
                <w:sz w:val="24"/>
                <w:szCs w:val="24"/>
              </w:rPr>
              <w:t>niezależnie od języka głównego przedmiotu, wszystkie zadania pisemne mogą być przedstawiane w języku angielskim.</w:t>
            </w:r>
          </w:p>
          <w:p w14:paraId="0F7A0DCD" w14:textId="77777777" w:rsidR="00423E1E" w:rsidRDefault="00423E1E" w:rsidP="00EA23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7033DC" w14:textId="77777777" w:rsidR="00423E1E" w:rsidRDefault="00423E1E" w:rsidP="00EA23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3277A83" w14:textId="77777777" w:rsidR="00932B30" w:rsidRDefault="00E3185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C93BDC6" w14:textId="77777777" w:rsidR="00932B30" w:rsidRDefault="00932B3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932B30" w14:paraId="55EAB45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401AA" w14:textId="77777777" w:rsidR="00932B30" w:rsidRDefault="00E3185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09B18" w14:textId="77777777" w:rsidR="00932B30" w:rsidRDefault="00E3185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932B30" w14:paraId="636097B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67362" w14:textId="77777777" w:rsidR="00932B30" w:rsidRDefault="00E318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wynikające</w:t>
            </w:r>
            <w:r>
              <w:t>z</w:t>
            </w:r>
            <w:proofErr w:type="spellEnd"/>
            <w:r>
              <w:t> </w:t>
            </w:r>
            <w:proofErr w:type="spellStart"/>
            <w:r>
              <w:t>harmonogramu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54C66" w14:textId="77777777" w:rsidR="00932B30" w:rsidRDefault="00E318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32B30" w14:paraId="2075B7A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8CC81" w14:textId="77777777" w:rsidR="00932B30" w:rsidRDefault="00E318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5BA393E" w14:textId="77777777" w:rsidR="00932B30" w:rsidRDefault="00E318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2EB32" w14:textId="77777777" w:rsidR="00932B30" w:rsidRDefault="00E318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32B30" w14:paraId="3157AFD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451DF" w14:textId="77777777" w:rsidR="00932B30" w:rsidRDefault="00E318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995B2AD" w14:textId="77777777" w:rsidR="00932B30" w:rsidRDefault="00E318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46871" w14:textId="77777777" w:rsidR="00932B30" w:rsidRDefault="001009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932B30" w14:paraId="241E93C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17718" w14:textId="77777777" w:rsidR="00932B30" w:rsidRDefault="00E318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278BC" w14:textId="77777777" w:rsidR="00932B30" w:rsidRDefault="001009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932B30" w14:paraId="2A076E4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8C83C" w14:textId="77777777" w:rsidR="00932B30" w:rsidRDefault="00E3185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67872" w14:textId="77777777" w:rsidR="00932B30" w:rsidRDefault="001009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1F6559" w14:textId="77777777" w:rsidR="00932B30" w:rsidRDefault="00E3185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17FFE52" w14:textId="77777777" w:rsidR="00932B30" w:rsidRDefault="00932B3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4C5459" w14:textId="77777777" w:rsidR="00932B30" w:rsidRDefault="00E3185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94CBBE3" w14:textId="77777777" w:rsidR="00932B30" w:rsidRDefault="00932B3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932B30" w14:paraId="056A4538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0E057" w14:textId="77777777" w:rsidR="00932B30" w:rsidRDefault="00E318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B1A3C" w14:textId="77777777" w:rsidR="00932B30" w:rsidRDefault="00932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32B30" w14:paraId="0D8A87D3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E2B84" w14:textId="77777777" w:rsidR="00932B30" w:rsidRDefault="00E318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84D4E" w14:textId="77777777" w:rsidR="00932B30" w:rsidRDefault="00932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6895F01" w14:textId="77777777" w:rsidR="00932B30" w:rsidRDefault="00932B3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0E696E" w14:textId="77777777" w:rsidR="00932B30" w:rsidRDefault="00E3185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56EF600D" w14:textId="77777777" w:rsidR="00932B30" w:rsidRDefault="00932B3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3"/>
      </w:tblGrid>
      <w:tr w:rsidR="00932B30" w14:paraId="5814845D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4AA51" w14:textId="77777777" w:rsidR="00932B30" w:rsidRDefault="00E3185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46A5DD" w14:textId="77777777" w:rsidR="00932B30" w:rsidRDefault="00932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A55F137" w14:textId="77777777" w:rsidR="00932B30" w:rsidRDefault="00E318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Bartlett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R., (2003)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Tworzenie Europy : podbój, kolonizacja i przemiany kulturowe 950-1350,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przetł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[z ang.] Grażyna Waluga ; posł. opatrzył Piotr Górecki, Poznańskie Towarzystwo Przyjaciół Nauk, Poznań</w:t>
            </w:r>
          </w:p>
          <w:p w14:paraId="2E13B455" w14:textId="77777777" w:rsidR="00932B30" w:rsidRDefault="00E31852">
            <w:pPr>
              <w:spacing w:line="240" w:lineRule="auto"/>
            </w:pPr>
            <w:proofErr w:type="spellStart"/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>Beavouis</w:t>
            </w:r>
            <w:proofErr w:type="spellEnd"/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 D., (2005) </w:t>
            </w:r>
            <w:r w:rsidRPr="00BA437A">
              <w:rPr>
                <w:rStyle w:val="Quotation"/>
                <w:rFonts w:ascii="Times New Roman" w:eastAsia="Times New Roman" w:hAnsi="Times New Roman"/>
                <w:sz w:val="20"/>
                <w:szCs w:val="20"/>
              </w:rPr>
              <w:t xml:space="preserve">Trójkąt ukraiński. Szlachta, carat i lud na Wołyniu, Podolu i </w:t>
            </w:r>
            <w:proofErr w:type="spellStart"/>
            <w:r w:rsidRPr="00BA437A">
              <w:rPr>
                <w:rStyle w:val="Quotation"/>
                <w:rFonts w:ascii="Times New Roman" w:eastAsia="Times New Roman" w:hAnsi="Times New Roman"/>
                <w:sz w:val="20"/>
                <w:szCs w:val="20"/>
              </w:rPr>
              <w:t>Kijowszczyźnie</w:t>
            </w:r>
            <w:proofErr w:type="spellEnd"/>
            <w:r w:rsidRPr="00BA437A">
              <w:rPr>
                <w:rStyle w:val="Quotation"/>
                <w:rFonts w:ascii="Times New Roman" w:eastAsia="Times New Roman" w:hAnsi="Times New Roman"/>
                <w:sz w:val="20"/>
                <w:szCs w:val="20"/>
              </w:rPr>
              <w:t xml:space="preserve"> 1793-1914</w:t>
            </w:r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>, tł. K. Rutkowski, Wydawnictwo UMCS, Lublin</w:t>
            </w:r>
          </w:p>
          <w:p w14:paraId="44F9E331" w14:textId="77777777" w:rsidR="00932B30" w:rsidRDefault="00E31852">
            <w:pPr>
              <w:autoSpaceDE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Arial CE" w:hAnsi="Times New Roman"/>
                <w:sz w:val="20"/>
                <w:szCs w:val="20"/>
              </w:rPr>
              <w:t>Bhabha</w:t>
            </w:r>
            <w:proofErr w:type="spellEnd"/>
            <w:r>
              <w:rPr>
                <w:rFonts w:ascii="Times New Roman" w:eastAsia="Arial CE" w:hAnsi="Times New Roman"/>
                <w:sz w:val="20"/>
                <w:szCs w:val="20"/>
              </w:rPr>
              <w:t xml:space="preserve"> H.K., (2010) </w:t>
            </w:r>
            <w:r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  <w:t>Miejsca kultury</w:t>
            </w:r>
            <w:r>
              <w:rPr>
                <w:rFonts w:ascii="Times New Roman" w:eastAsia="Arial CE" w:hAnsi="Times New Roman"/>
                <w:sz w:val="20"/>
                <w:szCs w:val="20"/>
              </w:rPr>
              <w:t>, przekł. [z ang.] Tomasz Dobrogoszcz, WUJ, Kraków</w:t>
            </w:r>
          </w:p>
          <w:p w14:paraId="418D9F20" w14:textId="77777777" w:rsidR="00932B30" w:rsidRDefault="00E31852">
            <w:pPr>
              <w:autoSpaceDE w:val="0"/>
              <w:spacing w:line="240" w:lineRule="auto"/>
            </w:pPr>
            <w:proofErr w:type="spellStart"/>
            <w:r w:rsidRPr="00BA437A">
              <w:rPr>
                <w:rStyle w:val="Uwydatnienie"/>
                <w:rFonts w:ascii="Times New Roman" w:hAnsi="Times New Roman"/>
                <w:i w:val="0"/>
                <w:sz w:val="20"/>
                <w:szCs w:val="20"/>
              </w:rPr>
              <w:t>Cavanagh</w:t>
            </w:r>
            <w:proofErr w:type="spellEnd"/>
            <w:r w:rsidRPr="00BA437A">
              <w:rPr>
                <w:rStyle w:val="Uwydatnienie"/>
                <w:rFonts w:ascii="Times New Roman" w:hAnsi="Times New Roman"/>
                <w:i w:val="0"/>
                <w:sz w:val="20"/>
                <w:szCs w:val="20"/>
              </w:rPr>
              <w:t xml:space="preserve"> C. (2003) </w:t>
            </w:r>
            <w:r w:rsidRPr="00BA437A">
              <w:rPr>
                <w:rStyle w:val="Uwydatnienie"/>
                <w:rFonts w:ascii="Times New Roman" w:hAnsi="Times New Roman"/>
                <w:sz w:val="20"/>
                <w:szCs w:val="20"/>
              </w:rPr>
              <w:t>Postkolonialna Polska. Biała plama na mapie współczesnej teorii</w:t>
            </w:r>
            <w:r w:rsidRPr="00BA437A">
              <w:rPr>
                <w:rStyle w:val="Uwydatnienie"/>
                <w:rFonts w:ascii="Times New Roman" w:hAnsi="Times New Roman"/>
                <w:i w:val="0"/>
                <w:sz w:val="20"/>
                <w:szCs w:val="20"/>
              </w:rPr>
              <w:t xml:space="preserve">, „Teksty Drugie”, 2/2003, s. 360–71 </w:t>
            </w:r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(online: http://rcin.org.pl/ibl/Content/53793/WA248_70139_P-I-2524_cavanagh-postkol.pdf) </w:t>
            </w:r>
          </w:p>
          <w:p w14:paraId="711E5DAC" w14:textId="77777777" w:rsidR="00932B30" w:rsidRDefault="00E318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Gawrycki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M., F., (red) (2012) Strategia mimikry : Ameryka Łacińska (i nie tylko) w ujęciu postkolonialnym, WUW Warszawa</w:t>
            </w:r>
          </w:p>
          <w:p w14:paraId="34FC8187" w14:textId="77777777" w:rsidR="00932B30" w:rsidRDefault="00E318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Graczyk, E.,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Graban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-Pomirska M., Horodecka M., Żółkoś M. (red) (2011) Białe maski / szare twarze : ciało, pamięć,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performatywność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w perspektywie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postzależnościowej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Universitas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Kraków</w:t>
            </w:r>
          </w:p>
          <w:p w14:paraId="5601DD33" w14:textId="77777777" w:rsidR="00932B30" w:rsidRDefault="00E31852">
            <w:pPr>
              <w:autoSpaceDE w:val="0"/>
              <w:spacing w:line="240" w:lineRule="auto"/>
            </w:pPr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Janion M. (2003) </w:t>
            </w:r>
            <w:r w:rsidRPr="00BA437A"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</w:rPr>
              <w:t>Polska między Wschodem a Zachodem</w:t>
            </w:r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, Teksty Drugie, 6/2003 s. 131–49 (online: https://ibl.waw.pl/polska-miedzy-wschodem-a-zachodem) </w:t>
            </w:r>
          </w:p>
          <w:p w14:paraId="208FE078" w14:textId="77777777" w:rsidR="00932B30" w:rsidRDefault="00E31852">
            <w:pPr>
              <w:autoSpaceDE w:val="0"/>
              <w:spacing w:line="240" w:lineRule="auto"/>
            </w:pPr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Modzelewski K., (2004) </w:t>
            </w:r>
            <w:r w:rsidRPr="00BA437A">
              <w:rPr>
                <w:rStyle w:val="Quotation"/>
                <w:rFonts w:ascii="Times New Roman" w:eastAsia="Times New Roman" w:hAnsi="Times New Roman"/>
                <w:sz w:val="20"/>
                <w:szCs w:val="20"/>
              </w:rPr>
              <w:t>Barbarzyńska Europa</w:t>
            </w:r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>, Wydawnictwo ISKRY, Warszawa</w:t>
            </w:r>
          </w:p>
          <w:p w14:paraId="4AA3277F" w14:textId="77777777" w:rsidR="00932B30" w:rsidRDefault="00E31852">
            <w:pPr>
              <w:autoSpaceDE w:val="0"/>
              <w:spacing w:line="240" w:lineRule="auto"/>
            </w:pPr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>Said E., W., (2009) Kultura i imperializm, przekł. [z ang.] Monika Wyrwas-Wiśniewska, WUJ, Kraków</w:t>
            </w:r>
          </w:p>
          <w:p w14:paraId="702F0D0C" w14:textId="77777777" w:rsidR="00932B30" w:rsidRDefault="00E31852">
            <w:pPr>
              <w:autoSpaceDE w:val="0"/>
              <w:snapToGrid w:val="0"/>
              <w:spacing w:after="0"/>
              <w:ind w:left="720"/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iCs/>
                <w:color w:val="000000"/>
                <w:sz w:val="20"/>
                <w:szCs w:val="20"/>
              </w:rPr>
              <w:t>(dodatkowo: aktualizowane na bieżąco materiały poglądowe i analityczne)</w:t>
            </w:r>
          </w:p>
        </w:tc>
      </w:tr>
      <w:tr w:rsidR="00932B30" w14:paraId="333D2F3E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6B921" w14:textId="77777777" w:rsidR="00932B30" w:rsidRDefault="00E3185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698FC8F" w14:textId="77777777" w:rsidR="00932B30" w:rsidRDefault="00932B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261DBE10" w14:textId="77777777" w:rsidR="00932B30" w:rsidRPr="00BA437A" w:rsidRDefault="00E31852">
            <w:pPr>
              <w:rPr>
                <w:lang w:val="en-GB"/>
              </w:rPr>
            </w:pPr>
            <w:r w:rsidRPr="00BA437A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Anderson B. (1997) </w:t>
            </w:r>
            <w:r w:rsidRPr="00BA437A">
              <w:rPr>
                <w:rStyle w:val="Uwydatnienie"/>
                <w:rFonts w:ascii="Times New Roman" w:eastAsia="Times New Roman" w:hAnsi="Times New Roman"/>
                <w:sz w:val="20"/>
                <w:szCs w:val="20"/>
              </w:rPr>
              <w:t>Wspólnoty wyobrażone</w:t>
            </w:r>
            <w:r w:rsidRPr="00BA437A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. </w:t>
            </w:r>
            <w:r w:rsidRPr="00BA437A">
              <w:rPr>
                <w:rStyle w:val="Uwydatnienie"/>
                <w:rFonts w:ascii="Times New Roman" w:eastAsia="Times New Roman" w:hAnsi="Times New Roman"/>
                <w:sz w:val="20"/>
                <w:szCs w:val="20"/>
              </w:rPr>
              <w:t>Rozważania o źródłach i rozprzestrzenianiu się nacjonalizmu</w:t>
            </w:r>
            <w:r w:rsidRPr="00BA437A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, tł. </w:t>
            </w:r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S. </w:t>
            </w:r>
            <w:proofErr w:type="spellStart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Amsterdamski</w:t>
            </w:r>
            <w:proofErr w:type="spellEnd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Znak</w:t>
            </w:r>
            <w:proofErr w:type="spellEnd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, Kraków </w:t>
            </w:r>
          </w:p>
          <w:p w14:paraId="5E11238F" w14:textId="77777777" w:rsidR="00932B30" w:rsidRPr="00BA437A" w:rsidRDefault="00E31852">
            <w:pPr>
              <w:rPr>
                <w:lang w:val="en-GB"/>
              </w:rPr>
            </w:pPr>
            <w:proofErr w:type="spellStart"/>
            <w:r w:rsidRPr="00BA437A">
              <w:rPr>
                <w:rStyle w:val="Uwydatnienie"/>
                <w:rFonts w:ascii="Times New Roman" w:hAnsi="Times New Roman"/>
                <w:i w:val="0"/>
                <w:sz w:val="20"/>
                <w:szCs w:val="20"/>
                <w:lang w:val="en-GB"/>
              </w:rPr>
              <w:t>Bakic</w:t>
            </w:r>
            <w:r w:rsidRPr="00BA437A">
              <w:rPr>
                <w:rStyle w:val="Quotation"/>
                <w:rFonts w:ascii="Times New Roman" w:hAnsi="Times New Roman"/>
                <w:i w:val="0"/>
                <w:sz w:val="20"/>
                <w:szCs w:val="20"/>
                <w:lang w:val="en-GB"/>
              </w:rPr>
              <w:t>-Hajden</w:t>
            </w:r>
            <w:proofErr w:type="spellEnd"/>
            <w:r w:rsidRPr="00BA437A">
              <w:rPr>
                <w:rStyle w:val="Quotation"/>
                <w:rFonts w:ascii="Times New Roman" w:hAnsi="Times New Roman"/>
                <w:i w:val="0"/>
                <w:sz w:val="20"/>
                <w:szCs w:val="20"/>
                <w:lang w:val="en-GB"/>
              </w:rPr>
              <w:t xml:space="preserve"> M. (1995) </w:t>
            </w:r>
            <w:r w:rsidRPr="00BA437A">
              <w:rPr>
                <w:rStyle w:val="Uwydatnienie"/>
                <w:rFonts w:ascii="Times New Roman" w:hAnsi="Times New Roman"/>
                <w:sz w:val="20"/>
                <w:szCs w:val="20"/>
                <w:lang w:val="en-GB"/>
              </w:rPr>
              <w:t>Nesting</w:t>
            </w:r>
            <w:r w:rsidRPr="00BA437A">
              <w:rPr>
                <w:rStyle w:val="Quotation"/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A437A">
              <w:rPr>
                <w:rStyle w:val="Quotation"/>
                <w:rFonts w:ascii="Times New Roman" w:hAnsi="Times New Roman"/>
                <w:sz w:val="20"/>
                <w:szCs w:val="20"/>
                <w:lang w:val="en-GB"/>
              </w:rPr>
              <w:t>Orientalisms</w:t>
            </w:r>
            <w:proofErr w:type="spellEnd"/>
            <w:r w:rsidRPr="00BA437A">
              <w:rPr>
                <w:rStyle w:val="Quotation"/>
                <w:rFonts w:ascii="Times New Roman" w:hAnsi="Times New Roman"/>
                <w:sz w:val="20"/>
                <w:szCs w:val="20"/>
                <w:lang w:val="en-GB"/>
              </w:rPr>
              <w:t>: The Case of Former Yugoslavia</w:t>
            </w:r>
            <w:r w:rsidRPr="00BA437A">
              <w:rPr>
                <w:rStyle w:val="Quotation"/>
                <w:rFonts w:ascii="Times New Roman" w:hAnsi="Times New Roman"/>
                <w:i w:val="0"/>
                <w:sz w:val="20"/>
                <w:szCs w:val="20"/>
                <w:lang w:val="en-GB"/>
              </w:rPr>
              <w:t xml:space="preserve">. „Slavic Review” , 54/4 s. 917–931 (online: https://www.academia.edu/26546254/Nesting_Orientalisms_1_pdf) </w:t>
            </w:r>
          </w:p>
          <w:p w14:paraId="528E042F" w14:textId="77777777" w:rsidR="00932B30" w:rsidRPr="00BA437A" w:rsidRDefault="00E31852">
            <w:pPr>
              <w:rPr>
                <w:lang w:val="en-GB"/>
              </w:rPr>
            </w:pPr>
            <w:proofErr w:type="spellStart"/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Bakic</w:t>
            </w:r>
            <w:proofErr w:type="spellEnd"/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-Hayden M., Hayden R., (1992) </w:t>
            </w:r>
            <w:r>
              <w:rPr>
                <w:rStyle w:val="Quotation"/>
                <w:rFonts w:ascii="Times New Roman" w:eastAsia="Times New Roman" w:hAnsi="Times New Roman"/>
                <w:sz w:val="20"/>
                <w:szCs w:val="20"/>
                <w:lang w:val="en-US"/>
              </w:rPr>
              <w:t>Orientalist Variations on the Theme 'Balkans': Symbolic Geography in Recent Yugoslav Cultural Politics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, „Slavic Review” 51, No. 1 (</w:t>
            </w:r>
            <w:proofErr w:type="spellStart"/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Wiosna</w:t>
            </w:r>
            <w:proofErr w:type="spellEnd"/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 1992) s 1-15. (online: https://www.academia.edu/1768618/Orientalist_variations_on_the_theme_Balkans_Symbolic_geography_in_recent_Yugoslav_cultural_politics) </w:t>
            </w:r>
          </w:p>
          <w:p w14:paraId="2D4353BF" w14:textId="77777777" w:rsidR="00932B30" w:rsidRPr="00BA437A" w:rsidRDefault="00E31852">
            <w:pPr>
              <w:rPr>
                <w:lang w:val="en-GB"/>
              </w:rPr>
            </w:pPr>
            <w:proofErr w:type="spellStart"/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Buchowski</w:t>
            </w:r>
            <w:proofErr w:type="spellEnd"/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 M., (2006)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The Specter of Orientalism in Europe: From Exotic Other to Stigmatized Brother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,  “Anthropological Quarterly”, 79(3) 2006, s. 463–82 (online: https://www.researchgate.net/publication/236794778_The_Specter_of_Orientalism_in_Europe_From_Exotic_Other_to_Stigmatized_Brother) </w:t>
            </w:r>
          </w:p>
          <w:p w14:paraId="0AF0839B" w14:textId="77777777" w:rsidR="00932B30" w:rsidRDefault="00E31852">
            <w:proofErr w:type="spellStart"/>
            <w:r w:rsidRPr="00BA437A">
              <w:rPr>
                <w:rStyle w:val="Uwydatnienie"/>
                <w:rFonts w:ascii="Times New Roman" w:hAnsi="Times New Roman"/>
                <w:i w:val="0"/>
                <w:sz w:val="20"/>
                <w:szCs w:val="20"/>
              </w:rPr>
              <w:t>Cavanagh</w:t>
            </w:r>
            <w:proofErr w:type="spellEnd"/>
            <w:r w:rsidRPr="00BA437A">
              <w:rPr>
                <w:rStyle w:val="Uwydatnienie"/>
                <w:rFonts w:ascii="Times New Roman" w:hAnsi="Times New Roman"/>
                <w:i w:val="0"/>
                <w:sz w:val="20"/>
                <w:szCs w:val="20"/>
              </w:rPr>
              <w:t xml:space="preserve"> C. (2003) </w:t>
            </w:r>
            <w:r w:rsidRPr="00BA437A">
              <w:rPr>
                <w:rStyle w:val="Uwydatnienie"/>
                <w:rFonts w:ascii="Times New Roman" w:hAnsi="Times New Roman"/>
                <w:sz w:val="20"/>
                <w:szCs w:val="20"/>
              </w:rPr>
              <w:t>Postkolonialna Polska. Biała plama na mapie współczesnej teorii</w:t>
            </w:r>
            <w:r w:rsidRPr="00BA437A">
              <w:rPr>
                <w:rStyle w:val="Uwydatnienie"/>
                <w:rFonts w:ascii="Times New Roman" w:hAnsi="Times New Roman"/>
                <w:i w:val="0"/>
                <w:sz w:val="20"/>
                <w:szCs w:val="20"/>
              </w:rPr>
              <w:t xml:space="preserve">, „Teksty Drugie”, 2/2003, s. 360–71 </w:t>
            </w:r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(online: http://rcin.org.pl/ibl/Content/53793/WA248_70139_P-I-2524_cavanagh-postkol.pdf) </w:t>
            </w:r>
          </w:p>
          <w:p w14:paraId="47F59425" w14:textId="77777777" w:rsidR="00932B30" w:rsidRDefault="00E3185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Chymkowski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R., (2019)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Nietożsamości :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Tillion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Fanon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Bourdieu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, Derrida i dylematy dekolonizacji,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Campidoglio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Wydawnictwo, Warszawa </w:t>
            </w:r>
          </w:p>
          <w:p w14:paraId="33412A2E" w14:textId="77777777" w:rsidR="00932B30" w:rsidRDefault="00E31852">
            <w:r>
              <w:rPr>
                <w:rStyle w:val="Quotation"/>
                <w:rFonts w:ascii="Times New Roman" w:hAnsi="Times New Roman"/>
                <w:sz w:val="20"/>
                <w:szCs w:val="20"/>
              </w:rPr>
              <w:t xml:space="preserve">Fałkowski N. (2003) Polska jako Wschód i jako Zachód, [w:] </w:t>
            </w:r>
            <w:proofErr w:type="spellStart"/>
            <w:r>
              <w:rPr>
                <w:rStyle w:val="Quotation"/>
                <w:rFonts w:ascii="Times New Roman" w:hAnsi="Times New Roman"/>
                <w:sz w:val="20"/>
                <w:szCs w:val="20"/>
              </w:rPr>
              <w:t>L.Kolarska</w:t>
            </w:r>
            <w:proofErr w:type="spellEnd"/>
            <w:r>
              <w:rPr>
                <w:rStyle w:val="Quotation"/>
                <w:rFonts w:ascii="Times New Roman" w:hAnsi="Times New Roman"/>
                <w:sz w:val="20"/>
                <w:szCs w:val="20"/>
              </w:rPr>
              <w:t xml:space="preserve">-Bobińska [red.] Obraz Polski i Polaków w Europie, Warszawa, s. 269-278 (online:https://www.academia.edu/9040808/Polska_jako_Wsch%C3%B3d_i_jako_Zach%C3%B3d_w_L_Kolarska_Bobi%C5%84ska_red_Obraz_Polski_i_Polak%C3%B3w_w_Europie_Warszawa_2003_s_269_278) </w:t>
            </w:r>
          </w:p>
          <w:p w14:paraId="65FBFF46" w14:textId="77777777" w:rsidR="00932B30" w:rsidRDefault="00E3185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Fanon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Fr., (2020) Czarna skóra, białe maski, tł., Urszula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kropiwiec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Wydawnictwo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Karakter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Kraków </w:t>
            </w:r>
          </w:p>
          <w:p w14:paraId="0F7D1519" w14:textId="77777777" w:rsidR="00932B30" w:rsidRDefault="00E3185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Kamińska-Jones D. (2017) Kobieta, sztuka i kolonizacja : wizerunki kobiet w strefie kontaktu indyjsko-brytyjskiego, WNUMK, Toruń</w:t>
            </w:r>
          </w:p>
          <w:p w14:paraId="4C9F0C70" w14:textId="77777777" w:rsidR="00932B30" w:rsidRPr="00BA437A" w:rsidRDefault="00E31852">
            <w:pPr>
              <w:rPr>
                <w:lang w:val="en-GB"/>
              </w:rPr>
            </w:pP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Kleberg L. (2010) </w:t>
            </w:r>
            <w:r>
              <w:rPr>
                <w:rStyle w:val="Quotation"/>
                <w:rFonts w:ascii="Times New Roman" w:eastAsia="Times New Roman" w:hAnsi="Times New Roman"/>
                <w:sz w:val="20"/>
                <w:szCs w:val="20"/>
                <w:lang w:val="en-US"/>
              </w:rPr>
              <w:t>In Search of Dracula or Cultures in Dialogue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, „Postcolonial Europe”, (online:)  http://www.pismo.easyisp.pl/index.php/en/studies/89-in-search-of-dracula-or-cultures-in-dialogue  </w:t>
            </w:r>
          </w:p>
          <w:p w14:paraId="0CAD12E9" w14:textId="77777777" w:rsidR="00932B30" w:rsidRPr="00BA437A" w:rsidRDefault="00E31852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>Mignolo</w:t>
            </w:r>
            <w:proofErr w:type="spellEnd"/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>, W., D., (2000) Local histories/ global designs : coloniality, subaltern knowledges, and border thinking, Princeton University Press, Princeton</w:t>
            </w:r>
          </w:p>
          <w:p w14:paraId="66BB2F89" w14:textId="77777777" w:rsidR="00932B30" w:rsidRDefault="00E31852">
            <w:r w:rsidRPr="00BA437A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Nowak A. W., </w:t>
            </w:r>
            <w:r w:rsidRPr="00BA437A">
              <w:rPr>
                <w:rStyle w:val="Uwydatnienie"/>
                <w:rFonts w:ascii="Times New Roman" w:eastAsia="Times New Roman" w:hAnsi="Times New Roman"/>
                <w:sz w:val="20"/>
                <w:szCs w:val="20"/>
              </w:rPr>
              <w:t>Europejska nowoczesność i jej wyparte konstytuujące „zewnętrze”</w:t>
            </w:r>
            <w:r w:rsidRPr="00BA437A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, „Nowa Krytyka. Czasopismo filozoficzne” 2011 nr 26/27 (online: https://fronetyczny.files.wordpress.com/2013/08/andrzej-w-nowak-nowa-krytyka.pdf) </w:t>
            </w:r>
          </w:p>
          <w:p w14:paraId="361B9222" w14:textId="77777777" w:rsidR="00932B30" w:rsidRPr="00BA437A" w:rsidRDefault="00E31852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Pratt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M., L. (2011) Imperialne spojrzenie : pisarstwo podróżnicze 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transkulturacja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 przekł. </w:t>
            </w:r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[z ang.] </w:t>
            </w:r>
            <w:proofErr w:type="spellStart"/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>Ewa</w:t>
            </w:r>
            <w:proofErr w:type="spellEnd"/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>Elżbieta</w:t>
            </w:r>
            <w:proofErr w:type="spellEnd"/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>Nowakowska</w:t>
            </w:r>
            <w:proofErr w:type="spellEnd"/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WUJ, Kraków </w:t>
            </w:r>
          </w:p>
          <w:p w14:paraId="5AC1E363" w14:textId="77777777" w:rsidR="00932B30" w:rsidRPr="00BA437A" w:rsidRDefault="00E31852">
            <w:pPr>
              <w:rPr>
                <w:lang w:val="en-GB"/>
              </w:rPr>
            </w:pP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Saunders R.A.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 w:eastAsia="pl-PL"/>
              </w:rPr>
              <w:t>Zombies in the Colonies: Imperialism and Contestation of Ethno-Political Space in Max Brooks’ The Zombie Survival Guide,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 http://www.inter-disciplinary.net/at-the-interface/wp-content/uploads/2012/06/saundersmgpaper.pdf </w:t>
            </w:r>
          </w:p>
          <w:p w14:paraId="5B3D4047" w14:textId="77777777" w:rsidR="00932B30" w:rsidRPr="00BA437A" w:rsidRDefault="00E31852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>Schwartz-</w:t>
            </w:r>
            <w:proofErr w:type="spellStart"/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>DuPre</w:t>
            </w:r>
            <w:proofErr w:type="spellEnd"/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R., L., (red) (2014) Communicating colonialism : readings on postcolonial theory(s) and communication, Peter Lang, NY</w:t>
            </w:r>
          </w:p>
          <w:p w14:paraId="57D7D289" w14:textId="77777777" w:rsidR="00932B30" w:rsidRPr="00BA437A" w:rsidRDefault="00E31852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Sian K.,P. (red.) (2014), Conversation in postcolonial thought, Palgrave </w:t>
            </w:r>
            <w:proofErr w:type="spellStart"/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>MacMillian</w:t>
            </w:r>
            <w:proofErr w:type="spellEnd"/>
            <w:r w:rsidRPr="00BA437A">
              <w:rPr>
                <w:rFonts w:ascii="Times New Roman" w:hAnsi="Times New Roman"/>
                <w:sz w:val="20"/>
                <w:szCs w:val="20"/>
                <w:lang w:val="en-GB"/>
              </w:rPr>
              <w:t>, NY</w:t>
            </w:r>
          </w:p>
          <w:p w14:paraId="0DB4BD72" w14:textId="77777777" w:rsidR="00932B30" w:rsidRDefault="00E31852"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Skórczewski D. (2013) </w:t>
            </w:r>
            <w:r w:rsidRPr="00BA437A">
              <w:rPr>
                <w:rStyle w:val="Quotation"/>
                <w:rFonts w:ascii="Times New Roman" w:eastAsia="Times New Roman" w:hAnsi="Times New Roman"/>
                <w:sz w:val="20"/>
                <w:szCs w:val="20"/>
                <w:lang w:eastAsia="pl-PL"/>
              </w:rPr>
              <w:t>Teoria – literatura – dyskurs. Pejzaż postkolonialny</w:t>
            </w:r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, Wydawnictwo KUL, Lublin</w:t>
            </w:r>
          </w:p>
          <w:p w14:paraId="69D47290" w14:textId="77777777" w:rsidR="00932B30" w:rsidRDefault="00E31852"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Sowa J.</w:t>
            </w:r>
            <w:r w:rsidRPr="00BA437A">
              <w:rPr>
                <w:rStyle w:val="Quotation"/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(2011) </w:t>
            </w:r>
            <w:r w:rsidRPr="00BA437A">
              <w:rPr>
                <w:rStyle w:val="Quotation"/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Fantomowe ciało króla, Peryferyjne zmagania z nowoczesną formą, </w:t>
            </w:r>
            <w:proofErr w:type="spellStart"/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Universitas</w:t>
            </w:r>
            <w:proofErr w:type="spellEnd"/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, Kraków </w:t>
            </w:r>
          </w:p>
          <w:p w14:paraId="163BE857" w14:textId="77777777" w:rsidR="00932B30" w:rsidRPr="00BA437A" w:rsidRDefault="00E31852">
            <w:pPr>
              <w:rPr>
                <w:lang w:val="en-GB"/>
              </w:rPr>
            </w:pPr>
            <w:r w:rsidRPr="00BA437A">
              <w:rPr>
                <w:rStyle w:val="Quotation"/>
                <w:rFonts w:ascii="Times New Roman" w:hAnsi="Times New Roman"/>
                <w:i w:val="0"/>
                <w:sz w:val="20"/>
                <w:szCs w:val="20"/>
                <w:lang w:val="en-GB"/>
              </w:rPr>
              <w:t xml:space="preserve">Wolff L. (1994) </w:t>
            </w:r>
            <w:r w:rsidRPr="00BA437A">
              <w:rPr>
                <w:rStyle w:val="Quotation"/>
                <w:rFonts w:ascii="Times New Roman" w:hAnsi="Times New Roman"/>
                <w:sz w:val="20"/>
                <w:szCs w:val="20"/>
                <w:lang w:val="en-GB"/>
              </w:rPr>
              <w:t xml:space="preserve">Inventing Eastern </w:t>
            </w:r>
            <w:proofErr w:type="spellStart"/>
            <w:r w:rsidRPr="00BA437A">
              <w:rPr>
                <w:rStyle w:val="Quotation"/>
                <w:rFonts w:ascii="Times New Roman" w:hAnsi="Times New Roman"/>
                <w:sz w:val="20"/>
                <w:szCs w:val="20"/>
                <w:lang w:val="en-GB"/>
              </w:rPr>
              <w:t>Europe:The</w:t>
            </w:r>
            <w:proofErr w:type="spellEnd"/>
            <w:r w:rsidRPr="00BA437A">
              <w:rPr>
                <w:rStyle w:val="Quotation"/>
                <w:rFonts w:ascii="Times New Roman" w:hAnsi="Times New Roman"/>
                <w:sz w:val="20"/>
                <w:szCs w:val="20"/>
                <w:lang w:val="en-GB"/>
              </w:rPr>
              <w:t xml:space="preserve"> Map of Civilization on the Mind of </w:t>
            </w:r>
            <w:proofErr w:type="spellStart"/>
            <w:r w:rsidRPr="00BA437A">
              <w:rPr>
                <w:rStyle w:val="Quotation"/>
                <w:rFonts w:ascii="Times New Roman" w:hAnsi="Times New Roman"/>
                <w:sz w:val="20"/>
                <w:szCs w:val="20"/>
                <w:lang w:val="en-GB"/>
              </w:rPr>
              <w:t>Elightenment</w:t>
            </w:r>
            <w:proofErr w:type="spellEnd"/>
            <w:r w:rsidRPr="00BA437A">
              <w:rPr>
                <w:rStyle w:val="Quotation"/>
                <w:rFonts w:ascii="Times New Roman" w:hAnsi="Times New Roman"/>
                <w:i w:val="0"/>
                <w:sz w:val="20"/>
                <w:szCs w:val="20"/>
                <w:lang w:val="en-GB"/>
              </w:rPr>
              <w:t>, Stanford University Press, Stanford</w:t>
            </w:r>
          </w:p>
          <w:p w14:paraId="134D05E9" w14:textId="77777777" w:rsidR="00932B30" w:rsidRDefault="00E31852"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Zarycki T. ((2010) </w:t>
            </w:r>
            <w:r w:rsidRPr="00BA437A">
              <w:rPr>
                <w:rStyle w:val="Uwydatnienie"/>
                <w:rFonts w:ascii="Times New Roman" w:eastAsia="Times New Roman" w:hAnsi="Times New Roman"/>
                <w:sz w:val="20"/>
                <w:szCs w:val="20"/>
                <w:lang w:eastAsia="pl-PL"/>
              </w:rPr>
              <w:t>Peryferie: Nowe ujęcia relacji centro-peryferyjnych</w:t>
            </w:r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, Wydawnictwo Naukowe Scholar, Warszawa </w:t>
            </w:r>
          </w:p>
          <w:p w14:paraId="0CE866E2" w14:textId="77777777" w:rsidR="00932B30" w:rsidRDefault="00E31852">
            <w:proofErr w:type="spellStart"/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Žižek</w:t>
            </w:r>
            <w:proofErr w:type="spellEnd"/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 S. (2011)  </w:t>
            </w:r>
            <w:r w:rsidRPr="00BA437A"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Od tragedii do farsy. Czyli jak historia się powtarza</w:t>
            </w:r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, tł. M. Kropiwnicki, B. </w:t>
            </w:r>
            <w:proofErr w:type="spellStart"/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Szelewa</w:t>
            </w:r>
            <w:proofErr w:type="spellEnd"/>
            <w:r w:rsidRPr="00BA437A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, Wydawnictwo Krytyki Politycznej, Warszawa</w:t>
            </w:r>
          </w:p>
          <w:p w14:paraId="4ABF9829" w14:textId="77777777" w:rsidR="00932B30" w:rsidRDefault="00E31852">
            <w:pPr>
              <w:autoSpaceDE w:val="0"/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color w:val="000000"/>
                <w:sz w:val="20"/>
                <w:szCs w:val="20"/>
              </w:rPr>
              <w:t>(dodatkowe materiały wybrane przez słuchaczy, materiały analityczne – w miarę możliwości: indywidualna i grupowa praca własna w terenie)</w:t>
            </w:r>
          </w:p>
        </w:tc>
      </w:tr>
    </w:tbl>
    <w:p w14:paraId="4D4A28E7" w14:textId="77777777" w:rsidR="00932B30" w:rsidRDefault="00932B3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0FF56B" w14:textId="77777777" w:rsidR="00932B30" w:rsidRDefault="00932B3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46D8FF" w14:textId="77777777" w:rsidR="00932B30" w:rsidRDefault="00E31852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32B30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BCE0A" w14:textId="77777777" w:rsidR="002C667E" w:rsidRDefault="002C667E">
      <w:pPr>
        <w:spacing w:after="0" w:line="240" w:lineRule="auto"/>
      </w:pPr>
      <w:r>
        <w:separator/>
      </w:r>
    </w:p>
  </w:endnote>
  <w:endnote w:type="continuationSeparator" w:id="0">
    <w:p w14:paraId="0076B2C6" w14:textId="77777777" w:rsidR="002C667E" w:rsidRDefault="002C6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7B294" w14:textId="77777777" w:rsidR="002C667E" w:rsidRDefault="002C667E">
      <w:r>
        <w:separator/>
      </w:r>
    </w:p>
  </w:footnote>
  <w:footnote w:type="continuationSeparator" w:id="0">
    <w:p w14:paraId="5CBBC1A5" w14:textId="77777777" w:rsidR="002C667E" w:rsidRDefault="002C667E">
      <w:r>
        <w:continuationSeparator/>
      </w:r>
    </w:p>
  </w:footnote>
  <w:footnote w:id="1">
    <w:p w14:paraId="583DBA9B" w14:textId="77777777" w:rsidR="00932B30" w:rsidRDefault="00E31852">
      <w:pPr>
        <w:pStyle w:val="Tekstprzypisudolnego"/>
      </w:pPr>
      <w:r>
        <w:rPr>
          <w:rStyle w:val="FootnoteCharacters"/>
        </w:rPr>
        <w:footnoteRef/>
      </w: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71CED"/>
    <w:multiLevelType w:val="multilevel"/>
    <w:tmpl w:val="F3CA54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B811CC2"/>
    <w:multiLevelType w:val="multilevel"/>
    <w:tmpl w:val="E3885E8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8CA6858"/>
    <w:multiLevelType w:val="multilevel"/>
    <w:tmpl w:val="A508C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6BD0192"/>
    <w:multiLevelType w:val="multilevel"/>
    <w:tmpl w:val="CB9EF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B30"/>
    <w:rsid w:val="00100914"/>
    <w:rsid w:val="001733F5"/>
    <w:rsid w:val="001A0AB4"/>
    <w:rsid w:val="00267130"/>
    <w:rsid w:val="002B7510"/>
    <w:rsid w:val="002C667E"/>
    <w:rsid w:val="00423E1E"/>
    <w:rsid w:val="00654C0C"/>
    <w:rsid w:val="00821611"/>
    <w:rsid w:val="008B14BB"/>
    <w:rsid w:val="00932B30"/>
    <w:rsid w:val="00BA437A"/>
    <w:rsid w:val="00BB7A3D"/>
    <w:rsid w:val="00BC4CC9"/>
    <w:rsid w:val="00DB6A09"/>
    <w:rsid w:val="00E3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61100"/>
  <w15:docId w15:val="{15A408CA-F6A2-4F21-9FB5-3270105BF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InternetLink">
    <w:name w:val="Internet Link"/>
    <w:uiPriority w:val="99"/>
    <w:unhideWhenUsed/>
    <w:rsid w:val="00B819C8"/>
    <w:rPr>
      <w:color w:val="0000FF"/>
      <w:u w:val="single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Quotation">
    <w:name w:val="Quotation"/>
    <w:qFormat/>
    <w:rPr>
      <w:i/>
    </w:rPr>
  </w:style>
  <w:style w:type="character" w:styleId="Uwydatnienie">
    <w:name w:val="Emphasis"/>
    <w:qFormat/>
    <w:rPr>
      <w:i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WW8Num2">
    <w:name w:val="WW8Num2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11AEC-15E2-4ACD-9371-A440BCE3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1723</Words>
  <Characters>10344</Characters>
  <Application>Microsoft Office Word</Application>
  <DocSecurity>0</DocSecurity>
  <Lines>86</Lines>
  <Paragraphs>24</Paragraphs>
  <ScaleCrop>false</ScaleCrop>
  <Company>Hewlett-Packard Company</Company>
  <LinksUpToDate>false</LinksUpToDate>
  <CharactersWithSpaces>12043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Paweł Balcerak</cp:lastModifiedBy>
  <cp:revision>15</cp:revision>
  <cp:lastPrinted>2019-02-06T12:12:00Z</cp:lastPrinted>
  <dcterms:created xsi:type="dcterms:W3CDTF">2020-10-21T18:58:00Z</dcterms:created>
  <dcterms:modified xsi:type="dcterms:W3CDTF">2021-01-27T14:55:00Z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